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W w:w="9045" w:type="dxa"/>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ook w:val="06A0" w:firstRow="1" w:lastRow="0" w:firstColumn="1" w:lastColumn="0" w:noHBand="1" w:noVBand="1"/>
      </w:tblPr>
      <w:tblGrid>
        <w:gridCol w:w="1260"/>
        <w:gridCol w:w="7785"/>
      </w:tblGrid>
      <w:tr w:rsidR="2B4D33E7" w14:paraId="6E80958D" w14:textId="77777777" w:rsidTr="6A91E915">
        <w:trPr>
          <w:trHeight w:val="302"/>
        </w:trPr>
        <w:tc>
          <w:tcPr>
            <w:tcW w:w="1260" w:type="dxa"/>
            <w:vAlign w:val="center"/>
          </w:tcPr>
          <w:p w14:paraId="528C5381" w14:textId="379DA935" w:rsidR="2B4D33E7" w:rsidRDefault="2B4D33E7" w:rsidP="6A91E915">
            <w:pPr>
              <w:pStyle w:val="Ttulo1"/>
              <w:spacing w:before="0" w:after="0"/>
              <w:rPr>
                <w:rFonts w:ascii="Arial" w:eastAsia="Arial" w:hAnsi="Arial" w:cs="Arial"/>
                <w:color w:val="BFBFBF" w:themeColor="background1" w:themeShade="BF"/>
                <w:sz w:val="18"/>
                <w:szCs w:val="18"/>
                <w:lang w:val="es-CO"/>
              </w:rPr>
            </w:pPr>
            <w:r w:rsidRPr="6A91E915">
              <w:rPr>
                <w:rFonts w:ascii="Arial" w:eastAsia="Arial" w:hAnsi="Arial" w:cs="Arial"/>
                <w:color w:val="BFBFBF" w:themeColor="background1" w:themeShade="BF"/>
                <w:sz w:val="18"/>
                <w:szCs w:val="18"/>
                <w:lang w:val="es-CO"/>
              </w:rPr>
              <w:t>Documento:</w:t>
            </w:r>
          </w:p>
        </w:tc>
        <w:tc>
          <w:tcPr>
            <w:tcW w:w="7785" w:type="dxa"/>
            <w:vAlign w:val="center"/>
          </w:tcPr>
          <w:p w14:paraId="3B56ECDC" w14:textId="5F1F50B1" w:rsidR="2B4D33E7" w:rsidRPr="00213186" w:rsidRDefault="00213186" w:rsidP="6A91E915">
            <w:pPr>
              <w:pStyle w:val="Ttulo1"/>
              <w:spacing w:before="0" w:after="0"/>
              <w:rPr>
                <w:rFonts w:ascii="Arial" w:eastAsia="Arial" w:hAnsi="Arial" w:cs="Arial"/>
                <w:color w:val="BFBFBF" w:themeColor="background1" w:themeShade="BF"/>
                <w:sz w:val="18"/>
                <w:szCs w:val="18"/>
              </w:rPr>
            </w:pPr>
            <w:r w:rsidRPr="00213186">
              <w:rPr>
                <w:rFonts w:ascii="Arial" w:eastAsia="Arial" w:hAnsi="Arial" w:cs="Arial"/>
                <w:color w:val="BFBFBF" w:themeColor="background1" w:themeShade="BF"/>
                <w:sz w:val="18"/>
                <w:szCs w:val="18"/>
                <w:lang w:val="es-CO"/>
              </w:rPr>
              <w:t>Análisis de la "Propuesta de uso del control formador de red (Grid-Forming) para recursos basados en inversores con énfasis en sistemas de almacenamiento de energía con baterías"</w:t>
            </w:r>
          </w:p>
        </w:tc>
      </w:tr>
      <w:tr w:rsidR="2B4D33E7" w14:paraId="752DC610" w14:textId="77777777" w:rsidTr="6A91E915">
        <w:trPr>
          <w:trHeight w:val="300"/>
        </w:trPr>
        <w:tc>
          <w:tcPr>
            <w:tcW w:w="1260" w:type="dxa"/>
            <w:vAlign w:val="center"/>
          </w:tcPr>
          <w:p w14:paraId="575E7CBF" w14:textId="2A340EB1" w:rsidR="2B4D33E7" w:rsidRDefault="2B4D33E7" w:rsidP="6A91E915">
            <w:pPr>
              <w:pStyle w:val="Ttulo1"/>
              <w:spacing w:before="0" w:after="0"/>
              <w:rPr>
                <w:rFonts w:ascii="Arial" w:eastAsia="Arial" w:hAnsi="Arial" w:cs="Arial"/>
                <w:color w:val="BFBFBF" w:themeColor="background1" w:themeShade="BF"/>
                <w:sz w:val="18"/>
                <w:szCs w:val="18"/>
                <w:lang w:val="es-CO"/>
              </w:rPr>
            </w:pPr>
            <w:r w:rsidRPr="6A91E915">
              <w:rPr>
                <w:rFonts w:ascii="Arial" w:eastAsia="Arial" w:hAnsi="Arial" w:cs="Arial"/>
                <w:color w:val="BFBFBF" w:themeColor="background1" w:themeShade="BF"/>
                <w:sz w:val="18"/>
                <w:szCs w:val="18"/>
                <w:lang w:val="es-CO"/>
              </w:rPr>
              <w:t>Grupo:</w:t>
            </w:r>
          </w:p>
        </w:tc>
        <w:tc>
          <w:tcPr>
            <w:tcW w:w="7785" w:type="dxa"/>
            <w:vAlign w:val="center"/>
          </w:tcPr>
          <w:p w14:paraId="2DE4DEB9" w14:textId="7958B5CC" w:rsidR="2B4D33E7" w:rsidRDefault="2B4D33E7" w:rsidP="6A91E915">
            <w:pPr>
              <w:pStyle w:val="Ttulo1"/>
              <w:spacing w:before="0" w:after="0"/>
              <w:rPr>
                <w:rFonts w:ascii="Arial" w:eastAsia="Arial" w:hAnsi="Arial" w:cs="Arial"/>
                <w:color w:val="BFBFBF" w:themeColor="background1" w:themeShade="BF"/>
                <w:sz w:val="18"/>
                <w:szCs w:val="18"/>
                <w:lang w:val="es-CO"/>
              </w:rPr>
            </w:pPr>
            <w:r w:rsidRPr="6A91E915">
              <w:rPr>
                <w:rFonts w:ascii="Arial" w:eastAsia="Arial" w:hAnsi="Arial" w:cs="Arial"/>
                <w:color w:val="BFBFBF" w:themeColor="background1" w:themeShade="BF"/>
                <w:sz w:val="18"/>
                <w:szCs w:val="18"/>
                <w:lang w:val="es-CO"/>
              </w:rPr>
              <w:t>Grupo de Gestión del Sector Eléctrico Colombiano</w:t>
            </w:r>
          </w:p>
        </w:tc>
      </w:tr>
      <w:tr w:rsidR="2B4D33E7" w14:paraId="03DF8AB1" w14:textId="77777777" w:rsidTr="6A91E915">
        <w:trPr>
          <w:trHeight w:val="300"/>
        </w:trPr>
        <w:tc>
          <w:tcPr>
            <w:tcW w:w="1260" w:type="dxa"/>
            <w:vAlign w:val="center"/>
          </w:tcPr>
          <w:p w14:paraId="04908FFB" w14:textId="59B3CACF" w:rsidR="2B4D33E7" w:rsidRDefault="2B4D33E7" w:rsidP="6A91E915">
            <w:pPr>
              <w:pStyle w:val="Ttulo1"/>
              <w:spacing w:before="0" w:after="0"/>
              <w:rPr>
                <w:rFonts w:ascii="Arial" w:eastAsia="Arial" w:hAnsi="Arial" w:cs="Arial"/>
                <w:color w:val="BFBFBF" w:themeColor="background1" w:themeShade="BF"/>
                <w:sz w:val="18"/>
                <w:szCs w:val="18"/>
                <w:lang w:val="es-CO"/>
              </w:rPr>
            </w:pPr>
            <w:r w:rsidRPr="6A91E915">
              <w:rPr>
                <w:rFonts w:ascii="Arial" w:eastAsia="Arial" w:hAnsi="Arial" w:cs="Arial"/>
                <w:color w:val="BFBFBF" w:themeColor="background1" w:themeShade="BF"/>
                <w:sz w:val="18"/>
                <w:szCs w:val="18"/>
                <w:lang w:val="es-CO"/>
              </w:rPr>
              <w:t>Fecha:</w:t>
            </w:r>
          </w:p>
        </w:tc>
        <w:tc>
          <w:tcPr>
            <w:tcW w:w="7785" w:type="dxa"/>
            <w:vAlign w:val="center"/>
          </w:tcPr>
          <w:p w14:paraId="0F79C694" w14:textId="284C9103" w:rsidR="2B4D33E7" w:rsidRDefault="00213186" w:rsidP="6A91E915">
            <w:pPr>
              <w:pStyle w:val="Ttulo1"/>
              <w:spacing w:before="0" w:after="0"/>
              <w:rPr>
                <w:rFonts w:ascii="Arial" w:eastAsia="Arial" w:hAnsi="Arial" w:cs="Arial"/>
                <w:color w:val="BFBFBF" w:themeColor="background1" w:themeShade="BF"/>
                <w:sz w:val="18"/>
                <w:szCs w:val="18"/>
                <w:lang w:val="es-CO"/>
              </w:rPr>
            </w:pPr>
            <w:r>
              <w:rPr>
                <w:rFonts w:ascii="Arial" w:eastAsia="Arial" w:hAnsi="Arial" w:cs="Arial"/>
                <w:color w:val="BFBFBF" w:themeColor="background1" w:themeShade="BF"/>
                <w:sz w:val="18"/>
                <w:szCs w:val="18"/>
                <w:lang w:val="es-CO"/>
              </w:rPr>
              <w:t>Junio</w:t>
            </w:r>
            <w:r w:rsidR="2B4D33E7" w:rsidRPr="6A91E915">
              <w:rPr>
                <w:rFonts w:ascii="Arial" w:eastAsia="Arial" w:hAnsi="Arial" w:cs="Arial"/>
                <w:color w:val="BFBFBF" w:themeColor="background1" w:themeShade="BF"/>
                <w:sz w:val="18"/>
                <w:szCs w:val="18"/>
                <w:lang w:val="es-CO"/>
              </w:rPr>
              <w:t xml:space="preserve"> de </w:t>
            </w:r>
            <w:r w:rsidR="73E7A56B" w:rsidRPr="6A91E915">
              <w:rPr>
                <w:rFonts w:ascii="Arial" w:eastAsia="Arial" w:hAnsi="Arial" w:cs="Arial"/>
                <w:color w:val="BFBFBF" w:themeColor="background1" w:themeShade="BF"/>
                <w:sz w:val="18"/>
                <w:szCs w:val="18"/>
                <w:lang w:val="es-CO"/>
              </w:rPr>
              <w:t>mes</w:t>
            </w:r>
            <w:r w:rsidR="2B4D33E7" w:rsidRPr="6A91E915">
              <w:rPr>
                <w:rFonts w:ascii="Arial" w:eastAsia="Arial" w:hAnsi="Arial" w:cs="Arial"/>
                <w:color w:val="BFBFBF" w:themeColor="background1" w:themeShade="BF"/>
                <w:sz w:val="18"/>
                <w:szCs w:val="18"/>
                <w:lang w:val="es-CO"/>
              </w:rPr>
              <w:t xml:space="preserve"> de 20</w:t>
            </w:r>
            <w:r>
              <w:rPr>
                <w:rFonts w:ascii="Arial" w:eastAsia="Arial" w:hAnsi="Arial" w:cs="Arial"/>
                <w:color w:val="BFBFBF" w:themeColor="background1" w:themeShade="BF"/>
                <w:sz w:val="18"/>
                <w:szCs w:val="18"/>
                <w:lang w:val="es-CO"/>
              </w:rPr>
              <w:t>26</w:t>
            </w:r>
          </w:p>
        </w:tc>
      </w:tr>
    </w:tbl>
    <w:p w14:paraId="5FC533C2" w14:textId="0D5D7EF6" w:rsidR="029C20C5" w:rsidRDefault="00A900BE" w:rsidP="620BC7E3">
      <w:pPr>
        <w:pStyle w:val="Ttulo1"/>
        <w:jc w:val="center"/>
        <w:rPr>
          <w:rFonts w:ascii="Arial" w:eastAsia="Arial" w:hAnsi="Arial" w:cs="Arial"/>
          <w:b/>
          <w:bCs/>
          <w:color w:val="000000" w:themeColor="text1"/>
          <w:sz w:val="24"/>
          <w:szCs w:val="24"/>
        </w:rPr>
      </w:pPr>
      <w:r w:rsidRPr="00A900BE">
        <w:rPr>
          <w:rFonts w:ascii="Arial" w:eastAsia="Arial" w:hAnsi="Arial" w:cs="Arial"/>
          <w:b/>
          <w:bCs/>
          <w:color w:val="000000" w:themeColor="text1"/>
          <w:sz w:val="24"/>
          <w:szCs w:val="24"/>
        </w:rPr>
        <w:t>Análisis de la "Propuesta de uso del control formador de red (Grid-Forming) para recursos basados en inversores con énfasis en sistemas de almacenamiento de energía con baterías"</w:t>
      </w:r>
    </w:p>
    <w:p w14:paraId="02F9F617" w14:textId="73B01512" w:rsidR="029C20C5" w:rsidRDefault="029C20C5" w:rsidP="6B2A584D">
      <w:pPr>
        <w:keepNext/>
        <w:keepLines/>
        <w:spacing w:after="0"/>
        <w:jc w:val="both"/>
        <w:rPr>
          <w:lang w:val="es-CO"/>
        </w:rPr>
      </w:pPr>
    </w:p>
    <w:p w14:paraId="460A9B3D" w14:textId="7B1C89DD" w:rsidR="00A900BE" w:rsidRPr="00A900BE" w:rsidRDefault="00A900BE" w:rsidP="00A900BE">
      <w:pPr>
        <w:pStyle w:val="Prrafodelista"/>
        <w:keepNext/>
        <w:keepLines/>
        <w:numPr>
          <w:ilvl w:val="0"/>
          <w:numId w:val="6"/>
        </w:numPr>
        <w:spacing w:after="0"/>
        <w:jc w:val="both"/>
        <w:rPr>
          <w:b/>
          <w:bCs/>
          <w:lang w:val="es-CO"/>
        </w:rPr>
      </w:pPr>
      <w:r w:rsidRPr="00A900BE">
        <w:rPr>
          <w:b/>
          <w:bCs/>
          <w:lang w:val="es-CO"/>
        </w:rPr>
        <w:t>Objeto del documento de XM</w:t>
      </w:r>
    </w:p>
    <w:p w14:paraId="481C274D" w14:textId="77777777" w:rsidR="00A900BE" w:rsidRPr="00A900BE" w:rsidRDefault="00A900BE" w:rsidP="00A900BE">
      <w:pPr>
        <w:pStyle w:val="Prrafodelista"/>
        <w:keepNext/>
        <w:keepLines/>
        <w:spacing w:after="0"/>
        <w:jc w:val="both"/>
        <w:rPr>
          <w:lang w:val="es-CO"/>
        </w:rPr>
      </w:pPr>
    </w:p>
    <w:p w14:paraId="1FF2553E" w14:textId="77777777" w:rsidR="00A900BE" w:rsidRDefault="00A900BE" w:rsidP="00A900BE">
      <w:pPr>
        <w:keepNext/>
        <w:keepLines/>
        <w:spacing w:after="0"/>
        <w:jc w:val="both"/>
        <w:rPr>
          <w:lang w:val="es-CO"/>
        </w:rPr>
      </w:pPr>
      <w:r w:rsidRPr="00A900BE">
        <w:rPr>
          <w:lang w:val="es-CO"/>
        </w:rPr>
        <w:t>XM, en su calidad de Operador del SIN y Administrador del Mercado de Energía Mayorista, publicó esta propuesta (V1, abril 2026, que actualiza la versión de diciembre 2025) con el fin de establecer los requisitos técnicos y operativos que considera necesarios para la integración de la tecnología Grid-Forming (GFM) al Sistema Interconectado Nacional, con énfasis en sistemas de almacenamiento de energía con baterías (SAEB). El documento aclara expresamente que no constituye regulación vigente, sino un insumo técnico para discusión, lo que tiene implicaciones relevantes para este Ministerio en cuanto al rol que eventualmente debería jugar la CREG en la adopción formal de estos requisitos.</w:t>
      </w:r>
    </w:p>
    <w:p w14:paraId="3F1AAFE5" w14:textId="77777777" w:rsidR="00E14F3D" w:rsidRDefault="00E14F3D" w:rsidP="00A900BE">
      <w:pPr>
        <w:keepNext/>
        <w:keepLines/>
        <w:spacing w:after="0"/>
        <w:jc w:val="both"/>
        <w:rPr>
          <w:lang w:val="es-CO"/>
        </w:rPr>
      </w:pPr>
    </w:p>
    <w:p w14:paraId="0AD8C090" w14:textId="7B08EF4C" w:rsidR="00E14F3D" w:rsidRPr="00E14F3D" w:rsidRDefault="00E14F3D" w:rsidP="00E14F3D">
      <w:pPr>
        <w:pStyle w:val="Prrafodelista"/>
        <w:keepNext/>
        <w:keepLines/>
        <w:numPr>
          <w:ilvl w:val="0"/>
          <w:numId w:val="6"/>
        </w:numPr>
        <w:spacing w:after="0"/>
        <w:jc w:val="both"/>
        <w:rPr>
          <w:b/>
          <w:bCs/>
          <w:lang w:val="es-CO"/>
        </w:rPr>
      </w:pPr>
      <w:r w:rsidRPr="00E14F3D">
        <w:rPr>
          <w:b/>
          <w:bCs/>
          <w:lang w:val="es-CO"/>
        </w:rPr>
        <w:t>Entidades y actores involucrados</w:t>
      </w:r>
    </w:p>
    <w:p w14:paraId="386001B8" w14:textId="77777777" w:rsidR="00E14F3D" w:rsidRPr="00E14F3D" w:rsidRDefault="00E14F3D" w:rsidP="00E14F3D">
      <w:pPr>
        <w:pStyle w:val="Prrafodelista"/>
        <w:keepNext/>
        <w:keepLines/>
        <w:spacing w:after="0"/>
        <w:jc w:val="both"/>
        <w:rPr>
          <w:lang w:val="es-CO"/>
        </w:rPr>
      </w:pPr>
    </w:p>
    <w:p w14:paraId="5734634B" w14:textId="6FE0EB53" w:rsidR="007A685D" w:rsidRPr="00E14F3D" w:rsidRDefault="00E14F3D" w:rsidP="00E14F3D">
      <w:pPr>
        <w:keepNext/>
        <w:keepLines/>
        <w:spacing w:after="0"/>
        <w:jc w:val="both"/>
        <w:rPr>
          <w:lang w:val="es-CO"/>
        </w:rPr>
      </w:pPr>
      <w:r w:rsidRPr="00E14F3D">
        <w:rPr>
          <w:lang w:val="es-CO"/>
        </w:rPr>
        <w:t>El documento documenta la colaboración de la Universidad Nacional de Colombia, la Universidad Tecnológica de Pereira, la Universidad de los Andes, el consorcio G-PST, el NREL, el consorcio UNIFI, y los fabricantes Huawei, Tesla y Trina-Storage. Se citan también como referencia internacional AEMO y Transgrid (Australia), National Grid ESO y NESO (Reino Unido), NERC y EPRI (Estados Unidos), y Red Eléctrica (España), entre otros, evidenciando que Colombia se está alineando con prácticas regulatorias en desarrollo a nivel mundial, sin que exista aún un estándar IEEE o IEC consolidado para GFM.</w:t>
      </w:r>
    </w:p>
    <w:p w14:paraId="04C9C443" w14:textId="77777777" w:rsidR="00A900BE" w:rsidRPr="00A900BE" w:rsidRDefault="00A900BE" w:rsidP="00A900BE">
      <w:pPr>
        <w:keepNext/>
        <w:keepLines/>
        <w:spacing w:after="0"/>
        <w:jc w:val="both"/>
        <w:rPr>
          <w:lang w:val="es-CO"/>
        </w:rPr>
      </w:pPr>
    </w:p>
    <w:p w14:paraId="1A54D273" w14:textId="77777777" w:rsidR="007A685D" w:rsidRPr="007A685D" w:rsidRDefault="00A900BE" w:rsidP="00CE5459">
      <w:pPr>
        <w:pStyle w:val="Prrafodelista"/>
        <w:keepNext/>
        <w:keepLines/>
        <w:numPr>
          <w:ilvl w:val="0"/>
          <w:numId w:val="6"/>
        </w:numPr>
        <w:spacing w:after="0"/>
        <w:jc w:val="both"/>
        <w:rPr>
          <w:lang w:val="es-CO"/>
        </w:rPr>
      </w:pPr>
      <w:r w:rsidRPr="007A685D">
        <w:rPr>
          <w:b/>
          <w:bCs/>
          <w:lang w:val="es-CO"/>
        </w:rPr>
        <w:t>Contexto y motivación técnica</w:t>
      </w:r>
    </w:p>
    <w:p w14:paraId="232D81D9" w14:textId="431A4F95" w:rsidR="00A900BE" w:rsidRPr="007A685D" w:rsidRDefault="00A900BE" w:rsidP="007A685D">
      <w:pPr>
        <w:keepNext/>
        <w:keepLines/>
        <w:spacing w:after="0"/>
        <w:jc w:val="both"/>
        <w:rPr>
          <w:lang w:val="es-CO"/>
        </w:rPr>
      </w:pPr>
      <w:r w:rsidRPr="007A685D">
        <w:rPr>
          <w:lang w:val="es-CO"/>
        </w:rPr>
        <w:lastRenderedPageBreak/>
        <w:t xml:space="preserve">El documento parte de un diagnóstico de fortaleza de red preocupante para el sistema colombiano. Según el </w:t>
      </w:r>
      <w:r w:rsidR="00E8328D" w:rsidRPr="007A685D">
        <w:rPr>
          <w:lang w:val="es-CO"/>
        </w:rPr>
        <w:t>Informe de Planeamiento Operativo Eléctrico de Largo Plazo -</w:t>
      </w:r>
      <w:r w:rsidRPr="007A685D">
        <w:rPr>
          <w:lang w:val="es-CO"/>
        </w:rPr>
        <w:t xml:space="preserve">IPOELP 2025-I, para 2032, incluso programando todas las unidades de generación síncrona disponibles cerca de los nodos más sensibles, no se alcanzan los niveles de fortaleza recomendados, debiendo descartarse potencia de IBR (recursos basados en inversores) con desaprovechamiento del energético primario. Para 2029, en 45 subestaciones entre 110 kV y 500 kV se proyectan escenarios con </w:t>
      </w:r>
      <w:r w:rsidR="00625E1A" w:rsidRPr="007A685D">
        <w:rPr>
          <w:lang w:val="es-CO"/>
        </w:rPr>
        <w:t>Relación de corto circuito con factores de Influencia (</w:t>
      </w:r>
      <w:r w:rsidRPr="007A685D">
        <w:rPr>
          <w:lang w:val="es-CO"/>
        </w:rPr>
        <w:t>SCRIF</w:t>
      </w:r>
      <w:r w:rsidR="00625E1A" w:rsidRPr="007A685D">
        <w:rPr>
          <w:lang w:val="es-CO"/>
        </w:rPr>
        <w:t>)</w:t>
      </w:r>
      <w:r w:rsidRPr="007A685D">
        <w:rPr>
          <w:lang w:val="es-CO"/>
        </w:rPr>
        <w:t xml:space="preserve"> por debajo de 1 (mínimo de 0.82).</w:t>
      </w:r>
    </w:p>
    <w:p w14:paraId="1D6FF271" w14:textId="77777777" w:rsidR="000032CE" w:rsidRPr="00754EF6" w:rsidRDefault="000032CE" w:rsidP="00A900BE">
      <w:pPr>
        <w:keepNext/>
        <w:keepLines/>
        <w:spacing w:after="0"/>
        <w:jc w:val="both"/>
        <w:rPr>
          <w:lang w:val="es-CO"/>
        </w:rPr>
      </w:pPr>
    </w:p>
    <w:p w14:paraId="23DB32E8" w14:textId="34AEE9FF" w:rsidR="00A900BE" w:rsidRPr="00754EF6" w:rsidRDefault="00A900BE" w:rsidP="00A900BE">
      <w:pPr>
        <w:keepNext/>
        <w:keepLines/>
        <w:spacing w:after="0"/>
        <w:jc w:val="both"/>
        <w:rPr>
          <w:lang w:val="es-CO"/>
        </w:rPr>
      </w:pPr>
      <w:r w:rsidRPr="00754EF6">
        <w:rPr>
          <w:lang w:val="es-CO"/>
        </w:rPr>
        <w:t>Un dato para destacar</w:t>
      </w:r>
      <w:r w:rsidR="004251E9" w:rsidRPr="00754EF6">
        <w:rPr>
          <w:lang w:val="es-CO"/>
        </w:rPr>
        <w:t xml:space="preserve"> es que </w:t>
      </w:r>
      <w:r w:rsidRPr="00754EF6">
        <w:rPr>
          <w:lang w:val="es-CO"/>
        </w:rPr>
        <w:t xml:space="preserve">en simulaciones EMT de área amplia para la red de 500 kV en la región Guajira-Cesar-Magdalena, con despacho nacional de generación GFL superior al 60%, una falla en el circuito Copey–La Loma 500 kV desconectaría cerca del 86% de la potencia entregada por inversores (más de 4.500 MW). Esto evidencia un riesgo sistémico concreto asociado a la actual tecnología predominante, y justifica técnicamente por qué XM impulsa la transición hacia </w:t>
      </w:r>
      <w:r w:rsidR="000D70CB" w:rsidRPr="00754EF6">
        <w:rPr>
          <w:lang w:val="es-CO"/>
        </w:rPr>
        <w:t xml:space="preserve">nuevas </w:t>
      </w:r>
      <w:r w:rsidR="00CA00EF" w:rsidRPr="00754EF6">
        <w:rPr>
          <w:lang w:val="es-CO"/>
        </w:rPr>
        <w:t>tecnologías y requerimientos técnicos en la implementación de nueva infraestructura eléctrica</w:t>
      </w:r>
      <w:r w:rsidRPr="00754EF6">
        <w:rPr>
          <w:lang w:val="es-CO"/>
        </w:rPr>
        <w:t>.</w:t>
      </w:r>
    </w:p>
    <w:p w14:paraId="2DF5A9B7" w14:textId="77777777" w:rsidR="00A900BE" w:rsidRPr="00A900BE" w:rsidRDefault="00A900BE" w:rsidP="00A900BE">
      <w:pPr>
        <w:keepNext/>
        <w:keepLines/>
        <w:spacing w:after="0"/>
        <w:jc w:val="both"/>
        <w:rPr>
          <w:highlight w:val="yellow"/>
          <w:lang w:val="es-CO"/>
        </w:rPr>
      </w:pPr>
    </w:p>
    <w:p w14:paraId="2B3CB64A" w14:textId="7D74CD8D" w:rsidR="00A900BE" w:rsidRPr="003649D8" w:rsidRDefault="00A900BE" w:rsidP="00E14F3D">
      <w:pPr>
        <w:pStyle w:val="Prrafodelista"/>
        <w:keepNext/>
        <w:keepLines/>
        <w:numPr>
          <w:ilvl w:val="0"/>
          <w:numId w:val="6"/>
        </w:numPr>
        <w:spacing w:after="0"/>
        <w:jc w:val="both"/>
        <w:rPr>
          <w:b/>
          <w:bCs/>
          <w:lang w:val="es-CO"/>
        </w:rPr>
      </w:pPr>
      <w:r w:rsidRPr="003649D8">
        <w:rPr>
          <w:b/>
          <w:bCs/>
          <w:lang w:val="es-CO"/>
        </w:rPr>
        <w:t>Qué es GFM y por qué se diferencia de GFL</w:t>
      </w:r>
    </w:p>
    <w:p w14:paraId="7952EDAC" w14:textId="77777777" w:rsidR="00A900BE" w:rsidRPr="003649D8" w:rsidRDefault="00A900BE" w:rsidP="00A900BE">
      <w:pPr>
        <w:pStyle w:val="Prrafodelista"/>
        <w:keepNext/>
        <w:keepLines/>
        <w:spacing w:after="0"/>
        <w:jc w:val="both"/>
        <w:rPr>
          <w:lang w:val="es-CO"/>
        </w:rPr>
      </w:pPr>
    </w:p>
    <w:p w14:paraId="54B9B915" w14:textId="51A9A3DF" w:rsidR="007534D6" w:rsidRDefault="007534D6" w:rsidP="007534D6">
      <w:pPr>
        <w:keepNext/>
        <w:keepLines/>
        <w:spacing w:after="0"/>
        <w:jc w:val="both"/>
        <w:rPr>
          <w:lang w:val="es-CO"/>
        </w:rPr>
      </w:pPr>
      <w:r w:rsidRPr="007534D6">
        <w:rPr>
          <w:lang w:val="es-CO"/>
        </w:rPr>
        <w:t>Los recursos basados en inversores (IBR) tradicionalmente han operado mediante esquemas Grid-Following (GFL o seguidores de red), los cuales requieren una referencia externa de tensión</w:t>
      </w:r>
      <w:r w:rsidR="00271969">
        <w:rPr>
          <w:lang w:val="es-CO"/>
        </w:rPr>
        <w:t xml:space="preserve"> (Voltaje)</w:t>
      </w:r>
      <w:r w:rsidRPr="007534D6">
        <w:rPr>
          <w:lang w:val="es-CO"/>
        </w:rPr>
        <w:t xml:space="preserve"> y frecuencia para sincronizarse con el sistema eléctrico. Esta sincronización se realiza mediante un Lazo Seguidor de Fase (PLL), razón por la cual su desempeño depende de que exista una red suficientemente fuerte o generación síncrona que establezca dichas referencias.</w:t>
      </w:r>
    </w:p>
    <w:p w14:paraId="462FB078" w14:textId="77777777" w:rsidR="00446E61" w:rsidRPr="007534D6" w:rsidRDefault="00446E61" w:rsidP="007534D6">
      <w:pPr>
        <w:keepNext/>
        <w:keepLines/>
        <w:spacing w:after="0"/>
        <w:jc w:val="both"/>
        <w:rPr>
          <w:lang w:val="es-CO"/>
        </w:rPr>
      </w:pPr>
    </w:p>
    <w:p w14:paraId="73FE32F7" w14:textId="77777777" w:rsidR="007534D6" w:rsidRDefault="007534D6" w:rsidP="007534D6">
      <w:pPr>
        <w:keepNext/>
        <w:keepLines/>
        <w:spacing w:after="0"/>
        <w:jc w:val="both"/>
        <w:rPr>
          <w:lang w:val="es-CO"/>
        </w:rPr>
      </w:pPr>
      <w:r w:rsidRPr="007534D6">
        <w:rPr>
          <w:lang w:val="es-CO"/>
        </w:rPr>
        <w:t>En contraste, los inversores Grid-Forming (GFM o formadores de red) operan como fuentes controladas de tensión y frecuencia, permitiéndoles establecer de manera autónoma las condiciones eléctricas necesarias para la operación del sistema. De acuerdo con la propuesta de XM, esta característica les permite autosincronizarse sin depender de un PLL, mantener un comportamiento estable en redes débiles y continuar operando incluso ante la pérdida de la última máquina síncrona conectada al sistema.</w:t>
      </w:r>
    </w:p>
    <w:p w14:paraId="1125179D" w14:textId="77777777" w:rsidR="00C66EAA" w:rsidRPr="007534D6" w:rsidRDefault="00C66EAA" w:rsidP="007534D6">
      <w:pPr>
        <w:keepNext/>
        <w:keepLines/>
        <w:spacing w:after="0"/>
        <w:jc w:val="both"/>
        <w:rPr>
          <w:lang w:val="es-CO"/>
        </w:rPr>
      </w:pPr>
    </w:p>
    <w:p w14:paraId="79F633D9" w14:textId="77777777" w:rsidR="007534D6" w:rsidRPr="007534D6" w:rsidRDefault="007534D6" w:rsidP="007534D6">
      <w:pPr>
        <w:keepNext/>
        <w:keepLines/>
        <w:spacing w:after="0"/>
        <w:jc w:val="both"/>
        <w:rPr>
          <w:lang w:val="es-CO"/>
        </w:rPr>
      </w:pPr>
      <w:r w:rsidRPr="007534D6">
        <w:rPr>
          <w:lang w:val="es-CO"/>
        </w:rPr>
        <w:t>La relevancia de esta tecnología radica en que el Sistema Interconectado Nacional enfrenta escenarios futuros de reducción de fortaleza de red asociados al incremento de recursos basados en inversores. En este contexto, los controles GFM buscan aportar funcionalidades que tradicionalmente han sido propias de la generación síncrona, contribuyendo a mejorar la estabilidad operativa y la capacidad de integración de nuevas tecnologías de generación y almacenamiento.</w:t>
      </w:r>
    </w:p>
    <w:p w14:paraId="7530116D" w14:textId="77777777" w:rsidR="007534D6" w:rsidRDefault="007534D6" w:rsidP="007534D6">
      <w:pPr>
        <w:keepNext/>
        <w:keepLines/>
        <w:spacing w:after="0"/>
        <w:jc w:val="both"/>
        <w:rPr>
          <w:lang w:val="es-CO"/>
        </w:rPr>
      </w:pPr>
      <w:r w:rsidRPr="007534D6">
        <w:rPr>
          <w:lang w:val="es-CO"/>
        </w:rPr>
        <w:lastRenderedPageBreak/>
        <w:t>Un aspecto particularmente relevante es la capacidad de arranque autónomo o Black Start. Esta funcionalidad permite que un recurso energice una porción de la red sin requerir una fuente externa de tensión previamente disponible. En términos operativos, esta característica puede resultar valiosa durante procesos de recuperación del sistema posteriores a eventos de gran magnitud, al permitir la energización gradual de equipos y redes a partir de recursos con capacidad GFM. Por esta razón, XM incorpora el Black Start como uno de los requisitos técnicos propuestos para los sistemas de almacenamiento de energía con baterías (SAEB) que utilicen esta tecnología.</w:t>
      </w:r>
    </w:p>
    <w:p w14:paraId="5A34F4D5" w14:textId="77777777" w:rsidR="009A55D6" w:rsidRPr="007534D6" w:rsidRDefault="009A55D6" w:rsidP="007534D6">
      <w:pPr>
        <w:keepNext/>
        <w:keepLines/>
        <w:spacing w:after="0"/>
        <w:jc w:val="both"/>
        <w:rPr>
          <w:lang w:val="es-CO"/>
        </w:rPr>
      </w:pPr>
    </w:p>
    <w:p w14:paraId="50197DB4" w14:textId="77777777" w:rsidR="007534D6" w:rsidRPr="007534D6" w:rsidRDefault="007534D6" w:rsidP="007534D6">
      <w:pPr>
        <w:keepNext/>
        <w:keepLines/>
        <w:spacing w:after="0"/>
        <w:jc w:val="both"/>
        <w:rPr>
          <w:lang w:val="es-CO"/>
        </w:rPr>
      </w:pPr>
      <w:r w:rsidRPr="007534D6">
        <w:rPr>
          <w:lang w:val="es-CO"/>
        </w:rPr>
        <w:t>No obstante, el propio documento reconoce que la tecnología GFM aún se encuentra en una etapa de desarrollo e implementación temprana a nivel internacional, sin estándares IEEE o IEC plenamente consolidados ni suficiente experiencia operativa a gran escala que permita validar de manera definitiva su desempeño en todas las condiciones de operación. Por ello, XM señala que su incorporación debe entenderse como un complemento a las tecnologías existentes y no como un reemplazo inmediato de la generación síncrona o de otras soluciones destinadas a garantizar la fortaleza del sistema eléctrico.</w:t>
      </w:r>
    </w:p>
    <w:p w14:paraId="19A949DE" w14:textId="77777777" w:rsidR="007534D6" w:rsidRDefault="007534D6" w:rsidP="00171F24">
      <w:pPr>
        <w:keepNext/>
        <w:keepLines/>
        <w:spacing w:after="0"/>
        <w:jc w:val="both"/>
        <w:rPr>
          <w:lang w:val="es-CO"/>
        </w:rPr>
      </w:pPr>
    </w:p>
    <w:p w14:paraId="0A3710FE" w14:textId="2DFB72BB" w:rsidR="00171F24" w:rsidRPr="009A55D6" w:rsidRDefault="009A55D6" w:rsidP="00171F24">
      <w:pPr>
        <w:keepNext/>
        <w:keepLines/>
        <w:spacing w:after="0"/>
        <w:jc w:val="both"/>
        <w:rPr>
          <w:lang w:val="es-CO"/>
        </w:rPr>
      </w:pPr>
      <w:r>
        <w:rPr>
          <w:lang w:val="es-CO"/>
        </w:rPr>
        <w:t xml:space="preserve">Adicionalmente, </w:t>
      </w:r>
      <w:r w:rsidR="00A566FA">
        <w:rPr>
          <w:lang w:val="es-CO"/>
        </w:rPr>
        <w:t xml:space="preserve">a modo de recomendación general en un futuro cercano </w:t>
      </w:r>
      <w:r w:rsidR="00FD55D6">
        <w:rPr>
          <w:lang w:val="es-CO"/>
        </w:rPr>
        <w:t>se</w:t>
      </w:r>
      <w:r w:rsidR="00A900BE" w:rsidRPr="003649D8">
        <w:rPr>
          <w:lang w:val="es-CO"/>
        </w:rPr>
        <w:t xml:space="preserve"> </w:t>
      </w:r>
      <w:r w:rsidR="00A566FA">
        <w:rPr>
          <w:lang w:val="es-CO"/>
        </w:rPr>
        <w:t>menciona</w:t>
      </w:r>
      <w:r w:rsidR="00A900BE" w:rsidRPr="003649D8">
        <w:rPr>
          <w:lang w:val="es-CO"/>
        </w:rPr>
        <w:t xml:space="preserve"> explícitamente </w:t>
      </w:r>
      <w:r w:rsidR="002A588D">
        <w:rPr>
          <w:i/>
          <w:iCs/>
          <w:lang w:val="es-CO"/>
        </w:rPr>
        <w:t xml:space="preserve">(…) </w:t>
      </w:r>
      <w:r w:rsidR="00171F24" w:rsidRPr="00171F24">
        <w:rPr>
          <w:i/>
          <w:iCs/>
          <w:lang w:val="es-CO"/>
        </w:rPr>
        <w:t>que todas las baterías conectadas a través de tecnología GFM al SIN cumplan con estos requisitos y validen su desempeño mediante las pruebas descritas en este documento en ambiente EMT y Hardware-In-The-Loop (HIL), garantizando así un estándar homogéneo de calidad y confiabilidad.</w:t>
      </w:r>
      <w:r w:rsidR="002A588D">
        <w:rPr>
          <w:i/>
          <w:iCs/>
          <w:lang w:val="es-CO"/>
        </w:rPr>
        <w:t xml:space="preserve"> (…)</w:t>
      </w:r>
    </w:p>
    <w:p w14:paraId="5A05F835" w14:textId="77777777" w:rsidR="00A900BE" w:rsidRPr="00A900BE" w:rsidRDefault="00A900BE" w:rsidP="00A900BE">
      <w:pPr>
        <w:keepNext/>
        <w:keepLines/>
        <w:spacing w:after="0"/>
        <w:jc w:val="both"/>
        <w:rPr>
          <w:highlight w:val="yellow"/>
          <w:lang w:val="es-CO"/>
        </w:rPr>
      </w:pPr>
    </w:p>
    <w:p w14:paraId="7F4FCBF2" w14:textId="50D3BF01" w:rsidR="00A900BE" w:rsidRPr="00865A80" w:rsidRDefault="00A900BE" w:rsidP="00E14F3D">
      <w:pPr>
        <w:pStyle w:val="Prrafodelista"/>
        <w:keepNext/>
        <w:keepLines/>
        <w:numPr>
          <w:ilvl w:val="0"/>
          <w:numId w:val="6"/>
        </w:numPr>
        <w:spacing w:after="0"/>
        <w:jc w:val="both"/>
        <w:rPr>
          <w:b/>
          <w:bCs/>
          <w:lang w:val="es-CO"/>
        </w:rPr>
      </w:pPr>
      <w:r w:rsidRPr="00865A80">
        <w:rPr>
          <w:b/>
          <w:bCs/>
          <w:lang w:val="es-CO"/>
        </w:rPr>
        <w:t>Requisitos técnicos propuestos (Capítulo 3)</w:t>
      </w:r>
    </w:p>
    <w:p w14:paraId="24FE74CE" w14:textId="77777777" w:rsidR="00A900BE" w:rsidRPr="00865A80" w:rsidRDefault="00A900BE" w:rsidP="00A900BE">
      <w:pPr>
        <w:pStyle w:val="Prrafodelista"/>
        <w:keepNext/>
        <w:keepLines/>
        <w:spacing w:after="0"/>
        <w:jc w:val="both"/>
        <w:rPr>
          <w:lang w:val="es-CO"/>
        </w:rPr>
      </w:pPr>
    </w:p>
    <w:p w14:paraId="334FEF30" w14:textId="1C0EA2DB" w:rsidR="00A900BE" w:rsidRPr="00865A80" w:rsidRDefault="00A900BE" w:rsidP="00A900BE">
      <w:pPr>
        <w:keepNext/>
        <w:keepLines/>
        <w:spacing w:after="0"/>
        <w:jc w:val="both"/>
        <w:rPr>
          <w:lang w:val="es-CO"/>
        </w:rPr>
      </w:pPr>
      <w:r w:rsidRPr="00865A80">
        <w:rPr>
          <w:lang w:val="es-CO"/>
        </w:rPr>
        <w:t xml:space="preserve">XM propone que estos requisitos apliquen a todos los SAEB independientes e híbridos conectados al STR y STN, y a los de capacidad nominal superior a 1 MVA conectados al SDL. Entre los requisitos más relevantes </w:t>
      </w:r>
      <w:r w:rsidR="00834BE9" w:rsidRPr="00865A80">
        <w:rPr>
          <w:lang w:val="es-CO"/>
        </w:rPr>
        <w:t>se encuentran</w:t>
      </w:r>
      <w:r w:rsidRPr="00865A80">
        <w:rPr>
          <w:lang w:val="es-CO"/>
        </w:rPr>
        <w:t>:</w:t>
      </w:r>
    </w:p>
    <w:p w14:paraId="01A32E2E" w14:textId="77777777" w:rsidR="00A900BE" w:rsidRPr="00865A80" w:rsidRDefault="00A900BE" w:rsidP="00A900BE">
      <w:pPr>
        <w:keepNext/>
        <w:keepLines/>
        <w:spacing w:after="0"/>
        <w:jc w:val="both"/>
        <w:rPr>
          <w:lang w:val="es-CO"/>
        </w:rPr>
      </w:pPr>
    </w:p>
    <w:p w14:paraId="1C97CA0C" w14:textId="77777777" w:rsidR="00A900BE" w:rsidRPr="00865A80" w:rsidRDefault="00A900BE" w:rsidP="00A900BE">
      <w:pPr>
        <w:keepNext/>
        <w:keepLines/>
        <w:numPr>
          <w:ilvl w:val="0"/>
          <w:numId w:val="5"/>
        </w:numPr>
        <w:spacing w:after="0"/>
        <w:jc w:val="both"/>
        <w:rPr>
          <w:lang w:val="es-CO"/>
        </w:rPr>
      </w:pPr>
      <w:r w:rsidRPr="00865A80">
        <w:rPr>
          <w:lang w:val="es-CO"/>
        </w:rPr>
        <w:t>Operación estable con SCR de hasta 1.2 y relación X/R entre 2.4 y 30 (rangos representativos de las condiciones de red débil identificadas en Colombia).</w:t>
      </w:r>
    </w:p>
    <w:p w14:paraId="062EFE63" w14:textId="77777777" w:rsidR="00A900BE" w:rsidRPr="00922D1F" w:rsidRDefault="00A900BE" w:rsidP="00A900BE">
      <w:pPr>
        <w:keepNext/>
        <w:keepLines/>
        <w:numPr>
          <w:ilvl w:val="0"/>
          <w:numId w:val="5"/>
        </w:numPr>
        <w:spacing w:after="0"/>
        <w:jc w:val="both"/>
        <w:rPr>
          <w:lang w:val="es-CO"/>
        </w:rPr>
      </w:pPr>
      <w:r w:rsidRPr="00865A80">
        <w:rPr>
          <w:lang w:val="es-CO"/>
        </w:rPr>
        <w:t xml:space="preserve">Aporte de corriente de mínimo 1.5 veces la corriente nominal (componentes </w:t>
      </w:r>
      <w:r w:rsidRPr="00922D1F">
        <w:rPr>
          <w:lang w:val="es-CO"/>
        </w:rPr>
        <w:t>activa y reactiva) sostenido por al menos 5 segundos ante contingencias.</w:t>
      </w:r>
    </w:p>
    <w:p w14:paraId="18D4743E" w14:textId="77777777" w:rsidR="00A900BE" w:rsidRPr="00922D1F" w:rsidRDefault="00A900BE" w:rsidP="00A900BE">
      <w:pPr>
        <w:keepNext/>
        <w:keepLines/>
        <w:numPr>
          <w:ilvl w:val="0"/>
          <w:numId w:val="5"/>
        </w:numPr>
        <w:spacing w:after="0"/>
        <w:jc w:val="both"/>
        <w:rPr>
          <w:lang w:val="es-CO"/>
        </w:rPr>
      </w:pPr>
      <w:r w:rsidRPr="00922D1F">
        <w:rPr>
          <w:lang w:val="es-CO"/>
        </w:rPr>
        <w:t>Capacidad de arranque autónomo (Black Start), inercia sintética mínima de 3 segundos, y soportabilidad ante huecos de tensión sucesivos (LVRT/HVRT/TOVRT/LFRT/HFRT).</w:t>
      </w:r>
    </w:p>
    <w:p w14:paraId="297C3209" w14:textId="6FBCB7FF" w:rsidR="00A900BE" w:rsidRPr="00990BEC" w:rsidRDefault="00A900BE" w:rsidP="00975CE0">
      <w:pPr>
        <w:keepNext/>
        <w:keepLines/>
        <w:numPr>
          <w:ilvl w:val="0"/>
          <w:numId w:val="5"/>
        </w:numPr>
        <w:spacing w:after="0"/>
        <w:jc w:val="both"/>
        <w:rPr>
          <w:lang w:val="es-CO"/>
        </w:rPr>
      </w:pPr>
      <w:r w:rsidRPr="00990BEC">
        <w:rPr>
          <w:lang w:val="es-CO"/>
        </w:rPr>
        <w:lastRenderedPageBreak/>
        <w:t xml:space="preserve">Prohibición de priorizar componentes de corriente activa o reactiva al alcanzar límites; </w:t>
      </w:r>
      <w:r w:rsidR="00990BEC" w:rsidRPr="00990BEC">
        <w:rPr>
          <w:lang w:val="es-CO"/>
        </w:rPr>
        <w:t>esto para garantizar la estabilidad y continuidad de servicios críticos durante condiciones de saturación de la capacidad del equipo</w:t>
      </w:r>
    </w:p>
    <w:p w14:paraId="2093CFA0" w14:textId="77777777" w:rsidR="00E36B28" w:rsidRPr="00A900BE" w:rsidRDefault="00E36B28" w:rsidP="00A900BE">
      <w:pPr>
        <w:keepNext/>
        <w:keepLines/>
        <w:spacing w:after="0"/>
        <w:jc w:val="both"/>
        <w:rPr>
          <w:highlight w:val="yellow"/>
          <w:lang w:val="es-CO"/>
        </w:rPr>
      </w:pPr>
    </w:p>
    <w:p w14:paraId="1A41C37A" w14:textId="021EC520" w:rsidR="00A900BE" w:rsidRPr="00F67B70" w:rsidRDefault="00A900BE" w:rsidP="00E14F3D">
      <w:pPr>
        <w:pStyle w:val="Prrafodelista"/>
        <w:keepNext/>
        <w:keepLines/>
        <w:numPr>
          <w:ilvl w:val="0"/>
          <w:numId w:val="6"/>
        </w:numPr>
        <w:spacing w:after="0"/>
        <w:jc w:val="both"/>
        <w:rPr>
          <w:b/>
          <w:bCs/>
          <w:lang w:val="es-CO"/>
        </w:rPr>
      </w:pPr>
      <w:r w:rsidRPr="00F67B70">
        <w:rPr>
          <w:b/>
          <w:bCs/>
          <w:lang w:val="es-CO"/>
        </w:rPr>
        <w:t>Banco de pruebas (Capítulo 4)</w:t>
      </w:r>
    </w:p>
    <w:p w14:paraId="07DB4626" w14:textId="77777777" w:rsidR="00A900BE" w:rsidRPr="00F67B70" w:rsidRDefault="00A900BE" w:rsidP="00A900BE">
      <w:pPr>
        <w:pStyle w:val="Prrafodelista"/>
        <w:keepNext/>
        <w:keepLines/>
        <w:spacing w:after="0"/>
        <w:jc w:val="both"/>
        <w:rPr>
          <w:lang w:val="es-CO"/>
        </w:rPr>
      </w:pPr>
    </w:p>
    <w:p w14:paraId="67F4F0FD" w14:textId="3B527407" w:rsidR="00A900BE" w:rsidRPr="00E842C9" w:rsidRDefault="00A900BE" w:rsidP="00A900BE">
      <w:pPr>
        <w:keepNext/>
        <w:keepLines/>
        <w:spacing w:after="0"/>
        <w:jc w:val="both"/>
        <w:rPr>
          <w:lang w:val="es-CO"/>
        </w:rPr>
      </w:pPr>
      <w:r w:rsidRPr="00E842C9">
        <w:rPr>
          <w:lang w:val="es-CO"/>
        </w:rPr>
        <w:t xml:space="preserve">XM propone 22 pruebas organizadas en 6 sistemas de prueba tipo (equivalente de red, nodo único con múltiple generación, escaneo en frecuencia, efecto de línea de transmisión, energización de transformador y estimación de inercia sintética). Las pruebas cubren desde la inicialización del modelo hasta casos críticos de operación (Prueba 21) y verificación de umbrales de desconexión (Prueba 22). XM exige que estas pruebas se realicen mediante simulaciones </w:t>
      </w:r>
      <w:r w:rsidR="00E842C9" w:rsidRPr="00E842C9">
        <w:rPr>
          <w:lang w:val="es-CO"/>
        </w:rPr>
        <w:t>Simulación de transitorios electromagnéticos (</w:t>
      </w:r>
      <w:r w:rsidRPr="00E842C9">
        <w:rPr>
          <w:lang w:val="es-CO"/>
        </w:rPr>
        <w:t>EMT</w:t>
      </w:r>
      <w:r w:rsidR="00E842C9" w:rsidRPr="00E842C9">
        <w:rPr>
          <w:lang w:val="es-CO"/>
        </w:rPr>
        <w:t>)</w:t>
      </w:r>
      <w:r w:rsidRPr="00E842C9">
        <w:rPr>
          <w:lang w:val="es-CO"/>
        </w:rPr>
        <w:t xml:space="preserve"> y, complementariamente, Hardware-in-the-Loop (HIL), y solicita que los fabricantes entreguen el código real de los inversores para una verificación idónea.</w:t>
      </w:r>
    </w:p>
    <w:p w14:paraId="3A60C68A" w14:textId="77777777" w:rsidR="00A900BE" w:rsidRPr="00155B57" w:rsidRDefault="00A900BE" w:rsidP="00A900BE">
      <w:pPr>
        <w:keepNext/>
        <w:keepLines/>
        <w:spacing w:after="0"/>
        <w:jc w:val="both"/>
        <w:rPr>
          <w:lang w:val="es-CO"/>
        </w:rPr>
      </w:pPr>
    </w:p>
    <w:p w14:paraId="21EAFB4D" w14:textId="3D293DF7" w:rsidR="00A900BE" w:rsidRPr="00155B57" w:rsidRDefault="00CF3A9E" w:rsidP="00E14F3D">
      <w:pPr>
        <w:pStyle w:val="Prrafodelista"/>
        <w:keepNext/>
        <w:keepLines/>
        <w:numPr>
          <w:ilvl w:val="0"/>
          <w:numId w:val="6"/>
        </w:numPr>
        <w:spacing w:after="0"/>
        <w:jc w:val="both"/>
        <w:rPr>
          <w:b/>
          <w:bCs/>
          <w:lang w:val="es-CO"/>
        </w:rPr>
      </w:pPr>
      <w:r w:rsidRPr="00155B57">
        <w:rPr>
          <w:b/>
          <w:bCs/>
          <w:lang w:val="es-CO"/>
        </w:rPr>
        <w:t>Incidencia del</w:t>
      </w:r>
      <w:r w:rsidR="00A900BE" w:rsidRPr="00155B57">
        <w:rPr>
          <w:b/>
          <w:bCs/>
          <w:lang w:val="es-CO"/>
        </w:rPr>
        <w:t xml:space="preserve"> Min</w:t>
      </w:r>
      <w:r w:rsidRPr="00155B57">
        <w:rPr>
          <w:b/>
          <w:bCs/>
          <w:lang w:val="es-CO"/>
        </w:rPr>
        <w:t>Energía</w:t>
      </w:r>
    </w:p>
    <w:p w14:paraId="73121D70" w14:textId="77777777" w:rsidR="00A900BE" w:rsidRPr="00155B57" w:rsidRDefault="00A900BE" w:rsidP="00A900BE">
      <w:pPr>
        <w:pStyle w:val="Prrafodelista"/>
        <w:keepNext/>
        <w:keepLines/>
        <w:spacing w:after="0"/>
        <w:jc w:val="both"/>
        <w:rPr>
          <w:lang w:val="es-CO"/>
        </w:rPr>
      </w:pPr>
    </w:p>
    <w:p w14:paraId="4EB784F3" w14:textId="77777777" w:rsidR="00A900BE" w:rsidRPr="00155B57" w:rsidRDefault="00A900BE" w:rsidP="00A900BE">
      <w:pPr>
        <w:keepNext/>
        <w:keepLines/>
        <w:spacing w:after="0"/>
        <w:jc w:val="both"/>
        <w:rPr>
          <w:lang w:val="es-CO"/>
        </w:rPr>
      </w:pPr>
      <w:r w:rsidRPr="00155B57">
        <w:rPr>
          <w:lang w:val="es-CO"/>
        </w:rPr>
        <w:t>Desde la perspectiva de la Dirección de Energía Eléctrica, conviene destacar tres puntos de seguimiento:</w:t>
      </w:r>
    </w:p>
    <w:p w14:paraId="6A408B3E" w14:textId="77777777" w:rsidR="00A900BE" w:rsidRPr="00155B57" w:rsidRDefault="00A900BE" w:rsidP="00A900BE">
      <w:pPr>
        <w:keepNext/>
        <w:keepLines/>
        <w:spacing w:after="0"/>
        <w:jc w:val="both"/>
        <w:rPr>
          <w:lang w:val="es-CO"/>
        </w:rPr>
      </w:pPr>
    </w:p>
    <w:p w14:paraId="71743F28" w14:textId="77777777" w:rsidR="00A900BE" w:rsidRPr="00155B57" w:rsidRDefault="00A900BE" w:rsidP="00A900BE">
      <w:pPr>
        <w:pStyle w:val="Prrafodelista"/>
        <w:keepNext/>
        <w:keepLines/>
        <w:numPr>
          <w:ilvl w:val="0"/>
          <w:numId w:val="7"/>
        </w:numPr>
        <w:spacing w:after="0"/>
        <w:jc w:val="both"/>
        <w:rPr>
          <w:lang w:val="es-CO"/>
        </w:rPr>
      </w:pPr>
      <w:r w:rsidRPr="00155B57">
        <w:rPr>
          <w:lang w:val="es-CO"/>
        </w:rPr>
        <w:t>Primero, este documento es una propuesta técnica de XM sin carácter regulatorio; su adopción formal como requisito de conexión requeriría eventualmente una resolución CREG, por lo que es pertinente monitorear si la Comisión recoge estos criterios en futuras modificaciones al Código de Redes o a las reglas de conexión.</w:t>
      </w:r>
    </w:p>
    <w:p w14:paraId="13A7DC6B" w14:textId="77777777" w:rsidR="00A900BE" w:rsidRPr="00155B57" w:rsidRDefault="00A900BE" w:rsidP="00A900BE">
      <w:pPr>
        <w:pStyle w:val="Prrafodelista"/>
        <w:keepNext/>
        <w:keepLines/>
        <w:numPr>
          <w:ilvl w:val="0"/>
          <w:numId w:val="7"/>
        </w:numPr>
        <w:spacing w:after="0"/>
        <w:jc w:val="both"/>
        <w:rPr>
          <w:lang w:val="es-CO"/>
        </w:rPr>
      </w:pPr>
      <w:r w:rsidRPr="00155B57">
        <w:rPr>
          <w:lang w:val="es-CO"/>
        </w:rPr>
        <w:t>Segundo, el diagnóstico de fortaleza de red (SCRIF por debajo de 1 en 45 subestaciones a 2029, y el caso de falla en Guajira-Cesar-Magdalena) constituye una alerta operativa que debería articularse con los ejercicios de planeamiento de expansión de transmisión (STN/STR) y con el seguimiento a los riesgos identificados en los informes periódicos de XM al sector.</w:t>
      </w:r>
    </w:p>
    <w:p w14:paraId="29BFA427" w14:textId="77777777" w:rsidR="00A900BE" w:rsidRPr="00672221" w:rsidRDefault="00A900BE" w:rsidP="00A900BE">
      <w:pPr>
        <w:pStyle w:val="Prrafodelista"/>
        <w:keepNext/>
        <w:keepLines/>
        <w:numPr>
          <w:ilvl w:val="0"/>
          <w:numId w:val="7"/>
        </w:numPr>
        <w:spacing w:after="0"/>
        <w:jc w:val="both"/>
        <w:rPr>
          <w:lang w:val="es-CO"/>
        </w:rPr>
      </w:pPr>
      <w:r w:rsidRPr="00672221">
        <w:rPr>
          <w:lang w:val="es-CO"/>
        </w:rPr>
        <w:t xml:space="preserve">Tercero, dado que XM recomienda no exigir a los GFM el aseguramiento del nivel mínimo de fortaleza del sistema (rol que debe seguir recayendo en generación síncrona y compensadores síncronos), cualquier política de incentivos a SAEB con tecnología GFM debe diseñarse como </w:t>
      </w:r>
      <w:r w:rsidRPr="000B60B1">
        <w:rPr>
          <w:b/>
          <w:bCs/>
          <w:lang w:val="es-CO"/>
        </w:rPr>
        <w:t>complemento</w:t>
      </w:r>
      <w:r w:rsidRPr="00672221">
        <w:rPr>
          <w:lang w:val="es-CO"/>
        </w:rPr>
        <w:t xml:space="preserve"> y no como sustituto de las soluciones convencionales de fortaleza de red.</w:t>
      </w:r>
    </w:p>
    <w:p w14:paraId="6281F551" w14:textId="1251B3A2" w:rsidR="00A00D01" w:rsidRPr="00A900BE" w:rsidRDefault="00A00D01" w:rsidP="6B2A584D">
      <w:pPr>
        <w:keepNext/>
        <w:keepLines/>
        <w:spacing w:after="0"/>
        <w:jc w:val="both"/>
        <w:rPr>
          <w:lang w:val="es-CO"/>
        </w:rPr>
      </w:pPr>
    </w:p>
    <w:sectPr w:rsidR="00A00D01" w:rsidRPr="00A900BE">
      <w:headerReference w:type="default" r:id="rId10"/>
      <w:footerReference w:type="default" r:id="rId11"/>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9AEA3" w14:textId="77777777" w:rsidR="00E97DEB" w:rsidRDefault="00E97DEB">
      <w:pPr>
        <w:spacing w:after="0" w:line="240" w:lineRule="auto"/>
      </w:pPr>
      <w:r>
        <w:separator/>
      </w:r>
    </w:p>
  </w:endnote>
  <w:endnote w:type="continuationSeparator" w:id="0">
    <w:p w14:paraId="6F27EAFA" w14:textId="77777777" w:rsidR="00E97DEB" w:rsidRDefault="00E97D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53308" w14:textId="5CC988A1" w:rsidR="38D067BE" w:rsidRDefault="38D067BE" w:rsidP="38D067BE">
    <w:pPr>
      <w:pStyle w:val="Piedepgina"/>
      <w:jc w:val="right"/>
      <w:rPr>
        <w:i/>
        <w:iCs/>
        <w:color w:val="808080" w:themeColor="background1" w:themeShade="80"/>
        <w:sz w:val="16"/>
        <w:szCs w:val="16"/>
      </w:rPr>
    </w:pPr>
    <w:r w:rsidRPr="38D067BE">
      <w:rPr>
        <w:i/>
        <w:iCs/>
        <w:color w:val="808080" w:themeColor="background1" w:themeShade="80"/>
        <w:sz w:val="18"/>
        <w:szCs w:val="18"/>
      </w:rPr>
      <w:t>Grupo de Gestión del Sector Eléctrico Colombiano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99AAD" w14:textId="77777777" w:rsidR="00E97DEB" w:rsidRDefault="00E97DEB">
      <w:pPr>
        <w:spacing w:after="0" w:line="240" w:lineRule="auto"/>
      </w:pPr>
      <w:r>
        <w:separator/>
      </w:r>
    </w:p>
  </w:footnote>
  <w:footnote w:type="continuationSeparator" w:id="0">
    <w:p w14:paraId="7CDA7A9B" w14:textId="77777777" w:rsidR="00E97DEB" w:rsidRDefault="00E97D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B7EE6" w14:textId="2A196E46" w:rsidR="6B2A584D" w:rsidRDefault="6B2A584D" w:rsidP="6B2A584D">
    <w:pPr>
      <w:pStyle w:val="Encabezado"/>
      <w:jc w:val="center"/>
    </w:pPr>
    <w:r>
      <w:rPr>
        <w:noProof/>
      </w:rPr>
      <w:drawing>
        <wp:anchor distT="0" distB="0" distL="114300" distR="114300" simplePos="0" relativeHeight="251658240" behindDoc="0" locked="0" layoutInCell="1" allowOverlap="1" wp14:anchorId="3A2CDDDE" wp14:editId="368CD79F">
          <wp:simplePos x="0" y="0"/>
          <wp:positionH relativeFrom="column">
            <wp:posOffset>2486025</wp:posOffset>
          </wp:positionH>
          <wp:positionV relativeFrom="paragraph">
            <wp:posOffset>-171450</wp:posOffset>
          </wp:positionV>
          <wp:extent cx="723900" cy="628650"/>
          <wp:effectExtent l="0" t="0" r="0" b="0"/>
          <wp:wrapNone/>
          <wp:docPr id="167530180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5301801" name="Picture 1675301801"/>
                  <pic:cNvPicPr/>
                </pic:nvPicPr>
                <pic:blipFill>
                  <a:blip r:embed="rId1">
                    <a:extLst>
                      <a:ext uri="{28A0092B-C50C-407E-A947-70E740481C1C}">
                        <a14:useLocalDpi xmlns:a14="http://schemas.microsoft.com/office/drawing/2010/main"/>
                      </a:ext>
                    </a:extLst>
                  </a:blip>
                  <a:stretch>
                    <a:fillRect/>
                  </a:stretch>
                </pic:blipFill>
                <pic:spPr>
                  <a:xfrm>
                    <a:off x="0" y="0"/>
                    <a:ext cx="723900" cy="628650"/>
                  </a:xfrm>
                  <a:prstGeom prst="rect">
                    <a:avLst/>
                  </a:prstGeom>
                </pic:spPr>
              </pic:pic>
            </a:graphicData>
          </a:graphic>
          <wp14:sizeRelH relativeFrom="page">
            <wp14:pctWidth>0</wp14:pctWidth>
          </wp14:sizeRelH>
          <wp14:sizeRelV relativeFrom="page">
            <wp14:pctHeight>0</wp14:pctHeight>
          </wp14:sizeRelV>
        </wp:anchor>
      </w:drawing>
    </w:r>
  </w:p>
  <w:p w14:paraId="45E08D83" w14:textId="193F2EDB" w:rsidR="38D067BE" w:rsidRDefault="38D067BE" w:rsidP="38D067BE">
    <w:pPr>
      <w:pStyle w:val="Encabezado"/>
      <w:jc w:val="center"/>
    </w:pPr>
  </w:p>
  <w:p w14:paraId="413EC04D" w14:textId="7186C7FF" w:rsidR="38D067BE" w:rsidRDefault="38D067BE" w:rsidP="38D067BE">
    <w:pPr>
      <w:pStyle w:val="Encabezado"/>
      <w:jc w:val="center"/>
    </w:pPr>
  </w:p>
  <w:p w14:paraId="6A531C7B" w14:textId="77777777" w:rsidR="0048610E" w:rsidRDefault="0048610E" w:rsidP="38D067BE">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FFA5C"/>
    <w:multiLevelType w:val="multilevel"/>
    <w:tmpl w:val="B4F0CD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B0B0BFC"/>
    <w:multiLevelType w:val="hybridMultilevel"/>
    <w:tmpl w:val="B32C431C"/>
    <w:lvl w:ilvl="0" w:tplc="FD228FFE">
      <w:start w:val="1"/>
      <w:numFmt w:val="bullet"/>
      <w:lvlText w:val=""/>
      <w:lvlJc w:val="left"/>
      <w:pPr>
        <w:ind w:left="720" w:hanging="360"/>
      </w:pPr>
      <w:rPr>
        <w:rFonts w:ascii="Symbol" w:hAnsi="Symbol" w:hint="default"/>
      </w:rPr>
    </w:lvl>
    <w:lvl w:ilvl="1" w:tplc="A7DAEFD8">
      <w:start w:val="1"/>
      <w:numFmt w:val="bullet"/>
      <w:lvlText w:val="o"/>
      <w:lvlJc w:val="left"/>
      <w:pPr>
        <w:ind w:left="1440" w:hanging="360"/>
      </w:pPr>
      <w:rPr>
        <w:rFonts w:ascii="Courier New" w:hAnsi="Courier New" w:hint="default"/>
      </w:rPr>
    </w:lvl>
    <w:lvl w:ilvl="2" w:tplc="B9F09C06">
      <w:start w:val="1"/>
      <w:numFmt w:val="bullet"/>
      <w:lvlText w:val=""/>
      <w:lvlJc w:val="left"/>
      <w:pPr>
        <w:ind w:left="2160" w:hanging="360"/>
      </w:pPr>
      <w:rPr>
        <w:rFonts w:ascii="Wingdings" w:hAnsi="Wingdings" w:hint="default"/>
      </w:rPr>
    </w:lvl>
    <w:lvl w:ilvl="3" w:tplc="0D00FF54">
      <w:start w:val="1"/>
      <w:numFmt w:val="bullet"/>
      <w:lvlText w:val=""/>
      <w:lvlJc w:val="left"/>
      <w:pPr>
        <w:ind w:left="2880" w:hanging="360"/>
      </w:pPr>
      <w:rPr>
        <w:rFonts w:ascii="Symbol" w:hAnsi="Symbol" w:hint="default"/>
      </w:rPr>
    </w:lvl>
    <w:lvl w:ilvl="4" w:tplc="D0E219C4">
      <w:start w:val="1"/>
      <w:numFmt w:val="bullet"/>
      <w:lvlText w:val="o"/>
      <w:lvlJc w:val="left"/>
      <w:pPr>
        <w:ind w:left="3600" w:hanging="360"/>
      </w:pPr>
      <w:rPr>
        <w:rFonts w:ascii="Courier New" w:hAnsi="Courier New" w:hint="default"/>
      </w:rPr>
    </w:lvl>
    <w:lvl w:ilvl="5" w:tplc="F356E22C">
      <w:start w:val="1"/>
      <w:numFmt w:val="bullet"/>
      <w:lvlText w:val=""/>
      <w:lvlJc w:val="left"/>
      <w:pPr>
        <w:ind w:left="4320" w:hanging="360"/>
      </w:pPr>
      <w:rPr>
        <w:rFonts w:ascii="Wingdings" w:hAnsi="Wingdings" w:hint="default"/>
      </w:rPr>
    </w:lvl>
    <w:lvl w:ilvl="6" w:tplc="452406AC">
      <w:start w:val="1"/>
      <w:numFmt w:val="bullet"/>
      <w:lvlText w:val=""/>
      <w:lvlJc w:val="left"/>
      <w:pPr>
        <w:ind w:left="5040" w:hanging="360"/>
      </w:pPr>
      <w:rPr>
        <w:rFonts w:ascii="Symbol" w:hAnsi="Symbol" w:hint="default"/>
      </w:rPr>
    </w:lvl>
    <w:lvl w:ilvl="7" w:tplc="77160510">
      <w:start w:val="1"/>
      <w:numFmt w:val="bullet"/>
      <w:lvlText w:val="o"/>
      <w:lvlJc w:val="left"/>
      <w:pPr>
        <w:ind w:left="5760" w:hanging="360"/>
      </w:pPr>
      <w:rPr>
        <w:rFonts w:ascii="Courier New" w:hAnsi="Courier New" w:hint="default"/>
      </w:rPr>
    </w:lvl>
    <w:lvl w:ilvl="8" w:tplc="B3B2421E">
      <w:start w:val="1"/>
      <w:numFmt w:val="bullet"/>
      <w:lvlText w:val=""/>
      <w:lvlJc w:val="left"/>
      <w:pPr>
        <w:ind w:left="6480" w:hanging="360"/>
      </w:pPr>
      <w:rPr>
        <w:rFonts w:ascii="Wingdings" w:hAnsi="Wingdings" w:hint="default"/>
      </w:rPr>
    </w:lvl>
  </w:abstractNum>
  <w:abstractNum w:abstractNumId="2" w15:restartNumberingAfterBreak="0">
    <w:nsid w:val="54BAE0E2"/>
    <w:multiLevelType w:val="hybridMultilevel"/>
    <w:tmpl w:val="205EFAD6"/>
    <w:lvl w:ilvl="0" w:tplc="9F564032">
      <w:start w:val="1"/>
      <w:numFmt w:val="bullet"/>
      <w:lvlText w:val=""/>
      <w:lvlJc w:val="left"/>
      <w:pPr>
        <w:ind w:left="720" w:hanging="360"/>
      </w:pPr>
      <w:rPr>
        <w:rFonts w:ascii="Symbol" w:hAnsi="Symbol" w:hint="default"/>
      </w:rPr>
    </w:lvl>
    <w:lvl w:ilvl="1" w:tplc="1D4E954A">
      <w:start w:val="1"/>
      <w:numFmt w:val="bullet"/>
      <w:lvlText w:val="o"/>
      <w:lvlJc w:val="left"/>
      <w:pPr>
        <w:ind w:left="1440" w:hanging="360"/>
      </w:pPr>
      <w:rPr>
        <w:rFonts w:ascii="Courier New" w:hAnsi="Courier New" w:hint="default"/>
      </w:rPr>
    </w:lvl>
    <w:lvl w:ilvl="2" w:tplc="DFBE0702">
      <w:start w:val="1"/>
      <w:numFmt w:val="bullet"/>
      <w:lvlText w:val=""/>
      <w:lvlJc w:val="left"/>
      <w:pPr>
        <w:ind w:left="2160" w:hanging="360"/>
      </w:pPr>
      <w:rPr>
        <w:rFonts w:ascii="Wingdings" w:hAnsi="Wingdings" w:hint="default"/>
      </w:rPr>
    </w:lvl>
    <w:lvl w:ilvl="3" w:tplc="3CAABEA0">
      <w:start w:val="1"/>
      <w:numFmt w:val="bullet"/>
      <w:lvlText w:val=""/>
      <w:lvlJc w:val="left"/>
      <w:pPr>
        <w:ind w:left="2880" w:hanging="360"/>
      </w:pPr>
      <w:rPr>
        <w:rFonts w:ascii="Symbol" w:hAnsi="Symbol" w:hint="default"/>
      </w:rPr>
    </w:lvl>
    <w:lvl w:ilvl="4" w:tplc="AAC00B62">
      <w:start w:val="1"/>
      <w:numFmt w:val="bullet"/>
      <w:lvlText w:val="o"/>
      <w:lvlJc w:val="left"/>
      <w:pPr>
        <w:ind w:left="3600" w:hanging="360"/>
      </w:pPr>
      <w:rPr>
        <w:rFonts w:ascii="Courier New" w:hAnsi="Courier New" w:hint="default"/>
      </w:rPr>
    </w:lvl>
    <w:lvl w:ilvl="5" w:tplc="F018818A">
      <w:start w:val="1"/>
      <w:numFmt w:val="bullet"/>
      <w:lvlText w:val=""/>
      <w:lvlJc w:val="left"/>
      <w:pPr>
        <w:ind w:left="4320" w:hanging="360"/>
      </w:pPr>
      <w:rPr>
        <w:rFonts w:ascii="Wingdings" w:hAnsi="Wingdings" w:hint="default"/>
      </w:rPr>
    </w:lvl>
    <w:lvl w:ilvl="6" w:tplc="2E40B7A8">
      <w:start w:val="1"/>
      <w:numFmt w:val="bullet"/>
      <w:lvlText w:val=""/>
      <w:lvlJc w:val="left"/>
      <w:pPr>
        <w:ind w:left="5040" w:hanging="360"/>
      </w:pPr>
      <w:rPr>
        <w:rFonts w:ascii="Symbol" w:hAnsi="Symbol" w:hint="default"/>
      </w:rPr>
    </w:lvl>
    <w:lvl w:ilvl="7" w:tplc="22FEABE4">
      <w:start w:val="1"/>
      <w:numFmt w:val="bullet"/>
      <w:lvlText w:val="o"/>
      <w:lvlJc w:val="left"/>
      <w:pPr>
        <w:ind w:left="5760" w:hanging="360"/>
      </w:pPr>
      <w:rPr>
        <w:rFonts w:ascii="Courier New" w:hAnsi="Courier New" w:hint="default"/>
      </w:rPr>
    </w:lvl>
    <w:lvl w:ilvl="8" w:tplc="DA860962">
      <w:start w:val="1"/>
      <w:numFmt w:val="bullet"/>
      <w:lvlText w:val=""/>
      <w:lvlJc w:val="left"/>
      <w:pPr>
        <w:ind w:left="6480" w:hanging="360"/>
      </w:pPr>
      <w:rPr>
        <w:rFonts w:ascii="Wingdings" w:hAnsi="Wingdings" w:hint="default"/>
      </w:rPr>
    </w:lvl>
  </w:abstractNum>
  <w:abstractNum w:abstractNumId="3" w15:restartNumberingAfterBreak="0">
    <w:nsid w:val="59DFC805"/>
    <w:multiLevelType w:val="hybridMultilevel"/>
    <w:tmpl w:val="E926E1F2"/>
    <w:lvl w:ilvl="0" w:tplc="B2D044BC">
      <w:start w:val="1"/>
      <w:numFmt w:val="decimal"/>
      <w:lvlText w:val="%1."/>
      <w:lvlJc w:val="left"/>
      <w:pPr>
        <w:ind w:left="720" w:hanging="360"/>
      </w:pPr>
    </w:lvl>
    <w:lvl w:ilvl="1" w:tplc="4CACE500">
      <w:start w:val="1"/>
      <w:numFmt w:val="lowerLetter"/>
      <w:lvlText w:val="%2."/>
      <w:lvlJc w:val="left"/>
      <w:pPr>
        <w:ind w:left="1440" w:hanging="360"/>
      </w:pPr>
    </w:lvl>
    <w:lvl w:ilvl="2" w:tplc="B61036AE">
      <w:start w:val="1"/>
      <w:numFmt w:val="lowerRoman"/>
      <w:lvlText w:val="%3."/>
      <w:lvlJc w:val="right"/>
      <w:pPr>
        <w:ind w:left="2160" w:hanging="180"/>
      </w:pPr>
    </w:lvl>
    <w:lvl w:ilvl="3" w:tplc="113CAF7E">
      <w:start w:val="1"/>
      <w:numFmt w:val="decimal"/>
      <w:lvlText w:val="%4."/>
      <w:lvlJc w:val="left"/>
      <w:pPr>
        <w:ind w:left="2880" w:hanging="360"/>
      </w:pPr>
    </w:lvl>
    <w:lvl w:ilvl="4" w:tplc="0CFEAD52">
      <w:start w:val="1"/>
      <w:numFmt w:val="lowerLetter"/>
      <w:lvlText w:val="%5."/>
      <w:lvlJc w:val="left"/>
      <w:pPr>
        <w:ind w:left="3600" w:hanging="360"/>
      </w:pPr>
    </w:lvl>
    <w:lvl w:ilvl="5" w:tplc="C9623490">
      <w:start w:val="1"/>
      <w:numFmt w:val="lowerRoman"/>
      <w:lvlText w:val="%6."/>
      <w:lvlJc w:val="right"/>
      <w:pPr>
        <w:ind w:left="4320" w:hanging="180"/>
      </w:pPr>
    </w:lvl>
    <w:lvl w:ilvl="6" w:tplc="F8CE8398">
      <w:start w:val="1"/>
      <w:numFmt w:val="decimal"/>
      <w:lvlText w:val="%7."/>
      <w:lvlJc w:val="left"/>
      <w:pPr>
        <w:ind w:left="5040" w:hanging="360"/>
      </w:pPr>
    </w:lvl>
    <w:lvl w:ilvl="7" w:tplc="E98C45A4">
      <w:start w:val="1"/>
      <w:numFmt w:val="lowerLetter"/>
      <w:lvlText w:val="%8."/>
      <w:lvlJc w:val="left"/>
      <w:pPr>
        <w:ind w:left="5760" w:hanging="360"/>
      </w:pPr>
    </w:lvl>
    <w:lvl w:ilvl="8" w:tplc="3816296E">
      <w:start w:val="1"/>
      <w:numFmt w:val="lowerRoman"/>
      <w:lvlText w:val="%9."/>
      <w:lvlJc w:val="right"/>
      <w:pPr>
        <w:ind w:left="6480" w:hanging="180"/>
      </w:pPr>
    </w:lvl>
  </w:abstractNum>
  <w:abstractNum w:abstractNumId="4" w15:restartNumberingAfterBreak="0">
    <w:nsid w:val="5BC73701"/>
    <w:multiLevelType w:val="hybridMultilevel"/>
    <w:tmpl w:val="8B4A170A"/>
    <w:lvl w:ilvl="0" w:tplc="634266F4">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69D02F0B"/>
    <w:multiLevelType w:val="multilevel"/>
    <w:tmpl w:val="FD809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D3973DA"/>
    <w:multiLevelType w:val="hybridMultilevel"/>
    <w:tmpl w:val="80D277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E641305"/>
    <w:multiLevelType w:val="hybridMultilevel"/>
    <w:tmpl w:val="BFCA49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527671644">
    <w:abstractNumId w:val="1"/>
  </w:num>
  <w:num w:numId="2" w16cid:durableId="2078093443">
    <w:abstractNumId w:val="2"/>
  </w:num>
  <w:num w:numId="3" w16cid:durableId="317459419">
    <w:abstractNumId w:val="3"/>
  </w:num>
  <w:num w:numId="4" w16cid:durableId="1221483016">
    <w:abstractNumId w:val="0"/>
  </w:num>
  <w:num w:numId="5" w16cid:durableId="585767323">
    <w:abstractNumId w:val="5"/>
  </w:num>
  <w:num w:numId="6" w16cid:durableId="265426809">
    <w:abstractNumId w:val="4"/>
  </w:num>
  <w:num w:numId="7" w16cid:durableId="1510370561">
    <w:abstractNumId w:val="7"/>
  </w:num>
  <w:num w:numId="8" w16cid:durableId="10691126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AF35A91"/>
    <w:rsid w:val="000032CE"/>
    <w:rsid w:val="000B60B1"/>
    <w:rsid w:val="000D70CB"/>
    <w:rsid w:val="00155B57"/>
    <w:rsid w:val="00157DA0"/>
    <w:rsid w:val="00171F24"/>
    <w:rsid w:val="00213186"/>
    <w:rsid w:val="00271969"/>
    <w:rsid w:val="002A588D"/>
    <w:rsid w:val="003649D8"/>
    <w:rsid w:val="004251E9"/>
    <w:rsid w:val="00446E61"/>
    <w:rsid w:val="0048610E"/>
    <w:rsid w:val="00625E1A"/>
    <w:rsid w:val="00662CEB"/>
    <w:rsid w:val="00672221"/>
    <w:rsid w:val="006A645D"/>
    <w:rsid w:val="006B35A4"/>
    <w:rsid w:val="007534D6"/>
    <w:rsid w:val="00754EF6"/>
    <w:rsid w:val="007A685D"/>
    <w:rsid w:val="00834BE9"/>
    <w:rsid w:val="00865A80"/>
    <w:rsid w:val="00871F12"/>
    <w:rsid w:val="008E3E19"/>
    <w:rsid w:val="008E58FA"/>
    <w:rsid w:val="00922D1F"/>
    <w:rsid w:val="00926778"/>
    <w:rsid w:val="00990BEC"/>
    <w:rsid w:val="009A55D6"/>
    <w:rsid w:val="00A00D01"/>
    <w:rsid w:val="00A566FA"/>
    <w:rsid w:val="00A900BE"/>
    <w:rsid w:val="00AC0736"/>
    <w:rsid w:val="00B6300E"/>
    <w:rsid w:val="00B67FAD"/>
    <w:rsid w:val="00BF7EEB"/>
    <w:rsid w:val="00C322FA"/>
    <w:rsid w:val="00C334DD"/>
    <w:rsid w:val="00C66EAA"/>
    <w:rsid w:val="00CA00EF"/>
    <w:rsid w:val="00CA6FC4"/>
    <w:rsid w:val="00CF3A9E"/>
    <w:rsid w:val="00D4657D"/>
    <w:rsid w:val="00D738EF"/>
    <w:rsid w:val="00DE5A7A"/>
    <w:rsid w:val="00E14F3D"/>
    <w:rsid w:val="00E36B28"/>
    <w:rsid w:val="00E8328D"/>
    <w:rsid w:val="00E842C9"/>
    <w:rsid w:val="00E97DEB"/>
    <w:rsid w:val="00F67B70"/>
    <w:rsid w:val="00F775EC"/>
    <w:rsid w:val="00FA0E42"/>
    <w:rsid w:val="00FD55D6"/>
    <w:rsid w:val="02575793"/>
    <w:rsid w:val="028633D9"/>
    <w:rsid w:val="029C20C5"/>
    <w:rsid w:val="04277651"/>
    <w:rsid w:val="043DE039"/>
    <w:rsid w:val="05D9682B"/>
    <w:rsid w:val="07051F2F"/>
    <w:rsid w:val="07FBBF41"/>
    <w:rsid w:val="08C60DE1"/>
    <w:rsid w:val="092A6B09"/>
    <w:rsid w:val="09F59747"/>
    <w:rsid w:val="0DA455B0"/>
    <w:rsid w:val="0E2C1324"/>
    <w:rsid w:val="0E2EBF36"/>
    <w:rsid w:val="0F4B630D"/>
    <w:rsid w:val="11EA0448"/>
    <w:rsid w:val="12135B49"/>
    <w:rsid w:val="1238EFC7"/>
    <w:rsid w:val="12AC8425"/>
    <w:rsid w:val="12ED7E8C"/>
    <w:rsid w:val="12F10001"/>
    <w:rsid w:val="135432CB"/>
    <w:rsid w:val="14671AA2"/>
    <w:rsid w:val="149C9962"/>
    <w:rsid w:val="15FAF50F"/>
    <w:rsid w:val="1700281D"/>
    <w:rsid w:val="191DEF71"/>
    <w:rsid w:val="1B411178"/>
    <w:rsid w:val="1F65CE87"/>
    <w:rsid w:val="2010F8E6"/>
    <w:rsid w:val="203C6BF3"/>
    <w:rsid w:val="208A5413"/>
    <w:rsid w:val="22243D5A"/>
    <w:rsid w:val="234A9D38"/>
    <w:rsid w:val="25E3B94D"/>
    <w:rsid w:val="27D19F43"/>
    <w:rsid w:val="27D3C88E"/>
    <w:rsid w:val="2B035140"/>
    <w:rsid w:val="2B4D33E7"/>
    <w:rsid w:val="2DFBE109"/>
    <w:rsid w:val="2E79B607"/>
    <w:rsid w:val="2F52DC46"/>
    <w:rsid w:val="2F590FEA"/>
    <w:rsid w:val="2FB8056D"/>
    <w:rsid w:val="30758091"/>
    <w:rsid w:val="314B159C"/>
    <w:rsid w:val="322039A1"/>
    <w:rsid w:val="326DDA1D"/>
    <w:rsid w:val="34A48EBE"/>
    <w:rsid w:val="3599E281"/>
    <w:rsid w:val="38D067BE"/>
    <w:rsid w:val="3A08AE05"/>
    <w:rsid w:val="3C71BF4E"/>
    <w:rsid w:val="3E42C5A2"/>
    <w:rsid w:val="3E900F54"/>
    <w:rsid w:val="3F0C6768"/>
    <w:rsid w:val="3F27D705"/>
    <w:rsid w:val="4098CC20"/>
    <w:rsid w:val="416F43CE"/>
    <w:rsid w:val="44C83845"/>
    <w:rsid w:val="44CF0029"/>
    <w:rsid w:val="47F6ACC6"/>
    <w:rsid w:val="4D8331E9"/>
    <w:rsid w:val="4E9394FA"/>
    <w:rsid w:val="4F49F7F6"/>
    <w:rsid w:val="56A8F774"/>
    <w:rsid w:val="5AF35A91"/>
    <w:rsid w:val="5D714153"/>
    <w:rsid w:val="5EDF88DF"/>
    <w:rsid w:val="5F1B5BD2"/>
    <w:rsid w:val="60275F20"/>
    <w:rsid w:val="611430BD"/>
    <w:rsid w:val="61775A0C"/>
    <w:rsid w:val="620BC7E3"/>
    <w:rsid w:val="621958D8"/>
    <w:rsid w:val="63750A61"/>
    <w:rsid w:val="63D5EB22"/>
    <w:rsid w:val="663EA7A8"/>
    <w:rsid w:val="664A3B66"/>
    <w:rsid w:val="66BA4B53"/>
    <w:rsid w:val="671D176A"/>
    <w:rsid w:val="676EE902"/>
    <w:rsid w:val="68C3BFFA"/>
    <w:rsid w:val="68F9EA85"/>
    <w:rsid w:val="693AD425"/>
    <w:rsid w:val="69C409D1"/>
    <w:rsid w:val="6A91E915"/>
    <w:rsid w:val="6B2A584D"/>
    <w:rsid w:val="6B479BF9"/>
    <w:rsid w:val="6CA9E215"/>
    <w:rsid w:val="6FFDA25A"/>
    <w:rsid w:val="712ADA5B"/>
    <w:rsid w:val="718A6106"/>
    <w:rsid w:val="71D5C45C"/>
    <w:rsid w:val="73707F31"/>
    <w:rsid w:val="73E7A56B"/>
    <w:rsid w:val="779A79F4"/>
    <w:rsid w:val="78C28160"/>
    <w:rsid w:val="7AD1E659"/>
    <w:rsid w:val="7AEFFDB3"/>
    <w:rsid w:val="7C47440E"/>
    <w:rsid w:val="7D43766F"/>
    <w:rsid w:val="7D7981F1"/>
    <w:rsid w:val="7F201B3E"/>
    <w:rsid w:val="7F47E9FF"/>
    <w:rsid w:val="7F4F4624"/>
    <w:rsid w:val="7FF557B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AD4A"/>
  <w15:chartTrackingRefBased/>
  <w15:docId w15:val="{8BCD7061-80E7-4CFA-913B-694096BA7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ES"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Pr>
      <w:rFonts w:asciiTheme="majorHAnsi" w:eastAsiaTheme="majorEastAsia" w:hAnsiTheme="majorHAnsi" w:cstheme="majorBidi"/>
      <w:color w:val="0F4761" w:themeColor="accent1" w:themeShade="BF"/>
      <w:sz w:val="40"/>
      <w:szCs w:val="40"/>
    </w:rPr>
  </w:style>
  <w:style w:type="paragraph" w:styleId="Prrafodelista">
    <w:name w:val="List Paragraph"/>
    <w:basedOn w:val="Normal"/>
    <w:uiPriority w:val="34"/>
    <w:qFormat/>
    <w:pPr>
      <w:ind w:left="720"/>
      <w:contextualSpacing/>
    </w:pPr>
  </w:style>
  <w:style w:type="paragraph" w:styleId="Encabezado">
    <w:name w:val="header"/>
    <w:basedOn w:val="Normal"/>
    <w:uiPriority w:val="99"/>
    <w:unhideWhenUsed/>
    <w:rsid w:val="6B2A584D"/>
    <w:pPr>
      <w:tabs>
        <w:tab w:val="center" w:pos="4680"/>
        <w:tab w:val="right" w:pos="9360"/>
      </w:tabs>
      <w:spacing w:after="0" w:line="240" w:lineRule="auto"/>
    </w:pPr>
  </w:style>
  <w:style w:type="paragraph" w:styleId="Piedepgina">
    <w:name w:val="footer"/>
    <w:basedOn w:val="Normal"/>
    <w:uiPriority w:val="99"/>
    <w:unhideWhenUsed/>
    <w:rsid w:val="6B2A584D"/>
    <w:pPr>
      <w:tabs>
        <w:tab w:val="center" w:pos="4680"/>
        <w:tab w:val="right" w:pos="9360"/>
      </w:tabs>
      <w:spacing w:after="0" w:line="240" w:lineRule="auto"/>
    </w:pPr>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164805">
      <w:bodyDiv w:val="1"/>
      <w:marLeft w:val="0"/>
      <w:marRight w:val="0"/>
      <w:marTop w:val="0"/>
      <w:marBottom w:val="0"/>
      <w:divBdr>
        <w:top w:val="none" w:sz="0" w:space="0" w:color="auto"/>
        <w:left w:val="none" w:sz="0" w:space="0" w:color="auto"/>
        <w:bottom w:val="none" w:sz="0" w:space="0" w:color="auto"/>
        <w:right w:val="none" w:sz="0" w:space="0" w:color="auto"/>
      </w:divBdr>
    </w:div>
    <w:div w:id="1352948095">
      <w:bodyDiv w:val="1"/>
      <w:marLeft w:val="0"/>
      <w:marRight w:val="0"/>
      <w:marTop w:val="0"/>
      <w:marBottom w:val="0"/>
      <w:divBdr>
        <w:top w:val="none" w:sz="0" w:space="0" w:color="auto"/>
        <w:left w:val="none" w:sz="0" w:space="0" w:color="auto"/>
        <w:bottom w:val="none" w:sz="0" w:space="0" w:color="auto"/>
        <w:right w:val="none" w:sz="0" w:space="0" w:color="auto"/>
      </w:divBdr>
    </w:div>
    <w:div w:id="1429427610">
      <w:bodyDiv w:val="1"/>
      <w:marLeft w:val="0"/>
      <w:marRight w:val="0"/>
      <w:marTop w:val="0"/>
      <w:marBottom w:val="0"/>
      <w:divBdr>
        <w:top w:val="none" w:sz="0" w:space="0" w:color="auto"/>
        <w:left w:val="none" w:sz="0" w:space="0" w:color="auto"/>
        <w:bottom w:val="none" w:sz="0" w:space="0" w:color="auto"/>
        <w:right w:val="none" w:sz="0" w:space="0" w:color="auto"/>
      </w:divBdr>
    </w:div>
    <w:div w:id="1985429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0" ma:contentTypeDescription="Crear nuevo documento." ma:contentTypeScope="" ma:versionID="d5c3a08b4f380d25d30e14ea7bdd62a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bff250eede24884c95f6806f9ee1f194"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258E2C-9BC2-4F5D-91D4-E99BB9C0F7E6}">
  <ds:schemaRefs>
    <ds:schemaRef ds:uri="http://schemas.microsoft.com/office/2006/metadata/properties"/>
    <ds:schemaRef ds:uri="http://schemas.microsoft.com/office/infopath/2007/PartnerControls"/>
    <ds:schemaRef ds:uri="ccaf9895-93ab-4536-b1cb-77a268359520"/>
    <ds:schemaRef ds:uri="189b51a7-d269-4f29-b142-79e8ee84f3f3"/>
  </ds:schemaRefs>
</ds:datastoreItem>
</file>

<file path=customXml/itemProps2.xml><?xml version="1.0" encoding="utf-8"?>
<ds:datastoreItem xmlns:ds="http://schemas.openxmlformats.org/officeDocument/2006/customXml" ds:itemID="{716E1841-3CA8-4EEC-BCDA-BC7D4A39DCEF}">
  <ds:schemaRefs>
    <ds:schemaRef ds:uri="http://schemas.microsoft.com/sharepoint/v3/contenttype/forms"/>
  </ds:schemaRefs>
</ds:datastoreItem>
</file>

<file path=customXml/itemProps3.xml><?xml version="1.0" encoding="utf-8"?>
<ds:datastoreItem xmlns:ds="http://schemas.openxmlformats.org/officeDocument/2006/customXml" ds:itemID="{2908BF61-0EA9-4D22-8E03-6650D0E4DE59}"/>
</file>

<file path=docProps/app.xml><?xml version="1.0" encoding="utf-8"?>
<Properties xmlns="http://schemas.openxmlformats.org/officeDocument/2006/extended-properties" xmlns:vt="http://schemas.openxmlformats.org/officeDocument/2006/docPropsVTypes">
  <Template>Normal</Template>
  <TotalTime>183</TotalTime>
  <Pages>4</Pages>
  <Words>1387</Words>
  <Characters>7632</Characters>
  <Application>Microsoft Office Word</Application>
  <DocSecurity>0</DocSecurity>
  <Lines>63</Lines>
  <Paragraphs>18</Paragraphs>
  <ScaleCrop>false</ScaleCrop>
  <Company/>
  <LinksUpToDate>false</LinksUpToDate>
  <CharactersWithSpaces>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CAMILO SANCHEZ SALAZAR</dc:creator>
  <cp:keywords/>
  <dc:description/>
  <cp:lastModifiedBy>Farid Tovar</cp:lastModifiedBy>
  <cp:revision>52</cp:revision>
  <dcterms:created xsi:type="dcterms:W3CDTF">2026-04-23T14:37:00Z</dcterms:created>
  <dcterms:modified xsi:type="dcterms:W3CDTF">2026-06-22T20:09:00Z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y fmtid="{D5CDD505-2E9C-101B-9397-08002B2CF9AE}" pid="3" name="MediaServiceImageTags">
    <vt:lpwstr/>
  </property>
</Properties>
</file>